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821E" w14:textId="6085526A" w:rsidR="00292866" w:rsidRPr="003E02B0" w:rsidRDefault="00752E2F" w:rsidP="003E02B0">
      <w:pPr>
        <w:pStyle w:val="ListParagraph"/>
        <w:numPr>
          <w:ilvl w:val="0"/>
          <w:numId w:val="1"/>
        </w:numPr>
        <w:tabs>
          <w:tab w:val="left" w:pos="426"/>
        </w:tabs>
        <w:spacing w:before="240"/>
        <w:ind w:left="425" w:right="6" w:hanging="425"/>
        <w:jc w:val="both"/>
      </w:pPr>
      <w:r>
        <w:t>The</w:t>
      </w:r>
      <w:r>
        <w:rPr>
          <w:spacing w:val="1"/>
        </w:rPr>
        <w:t xml:space="preserve"> </w:t>
      </w:r>
      <w:r>
        <w:t>appointment</w:t>
      </w:r>
      <w:r>
        <w:rPr>
          <w:spacing w:val="1"/>
        </w:rPr>
        <w:t xml:space="preserve"> </w:t>
      </w:r>
      <w:r>
        <w:t>of</w:t>
      </w:r>
      <w:r>
        <w:rPr>
          <w:spacing w:val="1"/>
        </w:rPr>
        <w:t xml:space="preserve"> </w:t>
      </w:r>
      <w:r>
        <w:t>the</w:t>
      </w:r>
      <w:r>
        <w:rPr>
          <w:spacing w:val="1"/>
        </w:rPr>
        <w:t xml:space="preserve"> </w:t>
      </w:r>
      <w:r>
        <w:t>Personalised</w:t>
      </w:r>
      <w:r>
        <w:rPr>
          <w:spacing w:val="1"/>
        </w:rPr>
        <w:t xml:space="preserve"> </w:t>
      </w:r>
      <w:r>
        <w:t>Transport</w:t>
      </w:r>
      <w:r>
        <w:rPr>
          <w:spacing w:val="1"/>
        </w:rPr>
        <w:t xml:space="preserve"> </w:t>
      </w:r>
      <w:r>
        <w:t>Ombudsman</w:t>
      </w:r>
      <w:r>
        <w:rPr>
          <w:spacing w:val="1"/>
        </w:rPr>
        <w:t xml:space="preserve"> </w:t>
      </w:r>
      <w:r>
        <w:t>(PTO)</w:t>
      </w:r>
      <w:r>
        <w:rPr>
          <w:spacing w:val="1"/>
        </w:rPr>
        <w:t xml:space="preserve"> </w:t>
      </w:r>
      <w:r>
        <w:t>under</w:t>
      </w:r>
      <w:r>
        <w:rPr>
          <w:spacing w:val="1"/>
        </w:rPr>
        <w:t xml:space="preserve"> </w:t>
      </w:r>
      <w:r>
        <w:t>the</w:t>
      </w:r>
      <w:r>
        <w:rPr>
          <w:spacing w:val="1"/>
        </w:rPr>
        <w:t xml:space="preserve"> </w:t>
      </w:r>
      <w:r>
        <w:rPr>
          <w:i/>
        </w:rPr>
        <w:t>Personalised</w:t>
      </w:r>
      <w:r>
        <w:rPr>
          <w:i/>
          <w:spacing w:val="-11"/>
        </w:rPr>
        <w:t xml:space="preserve"> </w:t>
      </w:r>
      <w:r>
        <w:rPr>
          <w:i/>
        </w:rPr>
        <w:t>Transport</w:t>
      </w:r>
      <w:r>
        <w:rPr>
          <w:i/>
          <w:spacing w:val="-14"/>
        </w:rPr>
        <w:t xml:space="preserve"> </w:t>
      </w:r>
      <w:r>
        <w:rPr>
          <w:i/>
        </w:rPr>
        <w:t>Ombudsman</w:t>
      </w:r>
      <w:r>
        <w:rPr>
          <w:i/>
          <w:spacing w:val="-13"/>
        </w:rPr>
        <w:t xml:space="preserve"> </w:t>
      </w:r>
      <w:r>
        <w:rPr>
          <w:i/>
        </w:rPr>
        <w:t>Act</w:t>
      </w:r>
      <w:r>
        <w:rPr>
          <w:i/>
          <w:spacing w:val="-9"/>
        </w:rPr>
        <w:t xml:space="preserve"> </w:t>
      </w:r>
      <w:r>
        <w:t>2019</w:t>
      </w:r>
      <w:r>
        <w:rPr>
          <w:spacing w:val="-13"/>
        </w:rPr>
        <w:t xml:space="preserve"> </w:t>
      </w:r>
      <w:r>
        <w:t>(PTO</w:t>
      </w:r>
      <w:r>
        <w:rPr>
          <w:spacing w:val="-9"/>
        </w:rPr>
        <w:t xml:space="preserve"> </w:t>
      </w:r>
      <w:r>
        <w:t>Act)</w:t>
      </w:r>
      <w:r>
        <w:rPr>
          <w:spacing w:val="-11"/>
        </w:rPr>
        <w:t xml:space="preserve"> </w:t>
      </w:r>
      <w:r>
        <w:t>was</w:t>
      </w:r>
      <w:r>
        <w:rPr>
          <w:spacing w:val="-10"/>
        </w:rPr>
        <w:t xml:space="preserve"> </w:t>
      </w:r>
      <w:r>
        <w:t>deferred</w:t>
      </w:r>
      <w:r>
        <w:rPr>
          <w:spacing w:val="-13"/>
        </w:rPr>
        <w:t xml:space="preserve"> </w:t>
      </w:r>
      <w:r>
        <w:t>due</w:t>
      </w:r>
      <w:r>
        <w:rPr>
          <w:spacing w:val="-10"/>
        </w:rPr>
        <w:t xml:space="preserve"> </w:t>
      </w:r>
      <w:r>
        <w:t>to</w:t>
      </w:r>
      <w:r>
        <w:rPr>
          <w:spacing w:val="-13"/>
        </w:rPr>
        <w:t xml:space="preserve"> </w:t>
      </w:r>
      <w:r>
        <w:t>the</w:t>
      </w:r>
      <w:r>
        <w:rPr>
          <w:spacing w:val="-13"/>
        </w:rPr>
        <w:t xml:space="preserve"> </w:t>
      </w:r>
      <w:r>
        <w:t>impact</w:t>
      </w:r>
      <w:r w:rsidR="00163059">
        <w:t xml:space="preserve">s of </w:t>
      </w:r>
      <w:r>
        <w:t>the COVID-19</w:t>
      </w:r>
      <w:r>
        <w:rPr>
          <w:spacing w:val="-2"/>
        </w:rPr>
        <w:t xml:space="preserve"> </w:t>
      </w:r>
      <w:r>
        <w:t>pandemic</w:t>
      </w:r>
      <w:r>
        <w:rPr>
          <w:spacing w:val="1"/>
        </w:rPr>
        <w:t xml:space="preserve"> </w:t>
      </w:r>
      <w:r>
        <w:t>on</w:t>
      </w:r>
      <w:r>
        <w:rPr>
          <w:spacing w:val="-2"/>
        </w:rPr>
        <w:t xml:space="preserve"> </w:t>
      </w:r>
      <w:r w:rsidR="003703E5">
        <w:rPr>
          <w:spacing w:val="-2"/>
        </w:rPr>
        <w:t xml:space="preserve">the personalised transport </w:t>
      </w:r>
      <w:r>
        <w:t>industry.</w:t>
      </w:r>
    </w:p>
    <w:p w14:paraId="0410266D" w14:textId="51EC2261" w:rsidR="008C1C98" w:rsidRDefault="008C1C98" w:rsidP="003E02B0">
      <w:pPr>
        <w:pStyle w:val="ListParagraph"/>
        <w:numPr>
          <w:ilvl w:val="0"/>
          <w:numId w:val="1"/>
        </w:numPr>
        <w:tabs>
          <w:tab w:val="left" w:pos="426"/>
        </w:tabs>
        <w:spacing w:before="240"/>
        <w:ind w:left="425" w:right="6" w:hanging="425"/>
        <w:jc w:val="both"/>
      </w:pPr>
      <w:r w:rsidRPr="004D6418">
        <w:t>The Department of Transport and Main Roads undertook a review and looked at whether a newly created PTO would provide the stated benefits to industry, particularly as operators recover from the impact of the pandemic</w:t>
      </w:r>
      <w:r>
        <w:t>.</w:t>
      </w:r>
    </w:p>
    <w:p w14:paraId="7FEBD30C" w14:textId="08D55464" w:rsidR="00B04658" w:rsidRDefault="008C1C98" w:rsidP="003E02B0">
      <w:pPr>
        <w:pStyle w:val="ListParagraph"/>
        <w:numPr>
          <w:ilvl w:val="0"/>
          <w:numId w:val="1"/>
        </w:numPr>
        <w:tabs>
          <w:tab w:val="left" w:pos="426"/>
        </w:tabs>
        <w:spacing w:before="240"/>
        <w:ind w:left="425" w:right="6" w:hanging="425"/>
        <w:jc w:val="both"/>
      </w:pPr>
      <w:r w:rsidRPr="008C1C98">
        <w:t>That review found the number of complaints about the industry were currently low and what was really required was access to independent mediation services to assist the industry to resolve complex matters.</w:t>
      </w:r>
    </w:p>
    <w:p w14:paraId="719D8224" w14:textId="73C5D2BC" w:rsidR="00292866" w:rsidRPr="004C3E51" w:rsidRDefault="00752E2F" w:rsidP="003E02B0">
      <w:pPr>
        <w:pStyle w:val="ListParagraph"/>
        <w:numPr>
          <w:ilvl w:val="0"/>
          <w:numId w:val="1"/>
        </w:numPr>
        <w:tabs>
          <w:tab w:val="left" w:pos="426"/>
        </w:tabs>
        <w:spacing w:before="240"/>
        <w:ind w:left="425" w:right="6" w:hanging="425"/>
        <w:jc w:val="both"/>
      </w:pPr>
      <w:r w:rsidRPr="004C3E51">
        <w:t>The</w:t>
      </w:r>
      <w:r w:rsidRPr="004C3E51">
        <w:rPr>
          <w:spacing w:val="1"/>
        </w:rPr>
        <w:t xml:space="preserve"> </w:t>
      </w:r>
      <w:r w:rsidR="00607319">
        <w:rPr>
          <w:spacing w:val="1"/>
        </w:rPr>
        <w:t xml:space="preserve">repeal of the </w:t>
      </w:r>
      <w:r w:rsidRPr="001F3A6A">
        <w:rPr>
          <w:i/>
          <w:iCs/>
        </w:rPr>
        <w:t>Personalised</w:t>
      </w:r>
      <w:r w:rsidRPr="001F3A6A">
        <w:rPr>
          <w:i/>
          <w:iCs/>
          <w:spacing w:val="1"/>
        </w:rPr>
        <w:t xml:space="preserve"> </w:t>
      </w:r>
      <w:r w:rsidRPr="001F3A6A">
        <w:rPr>
          <w:i/>
          <w:iCs/>
        </w:rPr>
        <w:t xml:space="preserve">Transport Ombudsman </w:t>
      </w:r>
      <w:r w:rsidR="00607319" w:rsidRPr="001F3A6A">
        <w:rPr>
          <w:i/>
          <w:iCs/>
        </w:rPr>
        <w:t>Act 2019</w:t>
      </w:r>
      <w:r w:rsidRPr="004C3E51">
        <w:rPr>
          <w:spacing w:val="1"/>
        </w:rPr>
        <w:t xml:space="preserve"> </w:t>
      </w:r>
      <w:r w:rsidR="008C1C98">
        <w:rPr>
          <w:spacing w:val="1"/>
        </w:rPr>
        <w:t xml:space="preserve">also </w:t>
      </w:r>
      <w:r w:rsidRPr="004C3E51">
        <w:t>reduce</w:t>
      </w:r>
      <w:r w:rsidR="00C23B29" w:rsidRPr="004C3E51">
        <w:t>s</w:t>
      </w:r>
      <w:r w:rsidRPr="004C3E51">
        <w:rPr>
          <w:spacing w:val="1"/>
        </w:rPr>
        <w:t xml:space="preserve"> </w:t>
      </w:r>
      <w:r w:rsidRPr="004C3E51">
        <w:t>unnecessary</w:t>
      </w:r>
      <w:r w:rsidRPr="004C3E51">
        <w:rPr>
          <w:spacing w:val="1"/>
        </w:rPr>
        <w:t xml:space="preserve"> </w:t>
      </w:r>
      <w:r w:rsidRPr="004C3E51">
        <w:t>government expenditure in response to increasing costs associated with the COVID-19</w:t>
      </w:r>
      <w:r w:rsidRPr="004C3E51">
        <w:rPr>
          <w:spacing w:val="1"/>
        </w:rPr>
        <w:t xml:space="preserve"> </w:t>
      </w:r>
      <w:r w:rsidRPr="004C3E51">
        <w:t>pandemic</w:t>
      </w:r>
      <w:r w:rsidRPr="004C3E51">
        <w:rPr>
          <w:spacing w:val="-1"/>
        </w:rPr>
        <w:t xml:space="preserve"> </w:t>
      </w:r>
      <w:r w:rsidR="00607319">
        <w:t>and does not play a role in supporting the recovery of the personalised transport industry</w:t>
      </w:r>
      <w:r w:rsidRPr="004C3E51">
        <w:t>.</w:t>
      </w:r>
    </w:p>
    <w:p w14:paraId="719D8226" w14:textId="1E56DCE9" w:rsidR="00292866" w:rsidRPr="004C3E51" w:rsidRDefault="00752E2F" w:rsidP="00A2378A">
      <w:pPr>
        <w:pStyle w:val="ListParagraph"/>
        <w:numPr>
          <w:ilvl w:val="0"/>
          <w:numId w:val="1"/>
        </w:numPr>
        <w:tabs>
          <w:tab w:val="left" w:pos="426"/>
        </w:tabs>
        <w:spacing w:before="240"/>
        <w:ind w:left="425" w:right="6" w:hanging="425"/>
        <w:jc w:val="both"/>
      </w:pPr>
      <w:r w:rsidRPr="004C3E51">
        <w:rPr>
          <w:u w:val="single"/>
        </w:rPr>
        <w:t>Cabinet</w:t>
      </w:r>
      <w:r w:rsidRPr="004C3E51">
        <w:rPr>
          <w:spacing w:val="-5"/>
          <w:u w:val="single"/>
        </w:rPr>
        <w:t xml:space="preserve"> </w:t>
      </w:r>
      <w:r w:rsidRPr="004C3E51">
        <w:rPr>
          <w:u w:val="single"/>
        </w:rPr>
        <w:t>approved</w:t>
      </w:r>
      <w:r w:rsidRPr="004C3E51">
        <w:rPr>
          <w:spacing w:val="-8"/>
        </w:rPr>
        <w:t xml:space="preserve"> </w:t>
      </w:r>
      <w:r w:rsidRPr="004C3E51">
        <w:t>the</w:t>
      </w:r>
      <w:r w:rsidRPr="004C3E51">
        <w:rPr>
          <w:spacing w:val="-7"/>
        </w:rPr>
        <w:t xml:space="preserve"> </w:t>
      </w:r>
      <w:r w:rsidRPr="004C3E51">
        <w:t>introduction</w:t>
      </w:r>
      <w:r w:rsidRPr="004C3E51">
        <w:rPr>
          <w:spacing w:val="-5"/>
        </w:rPr>
        <w:t xml:space="preserve"> </w:t>
      </w:r>
      <w:r w:rsidRPr="004C3E51">
        <w:t>of</w:t>
      </w:r>
      <w:r w:rsidRPr="004C3E51">
        <w:rPr>
          <w:spacing w:val="-8"/>
        </w:rPr>
        <w:t xml:space="preserve"> </w:t>
      </w:r>
      <w:r w:rsidRPr="004C3E51">
        <w:t>the</w:t>
      </w:r>
      <w:r w:rsidRPr="004C3E51">
        <w:rPr>
          <w:spacing w:val="-6"/>
        </w:rPr>
        <w:t xml:space="preserve"> </w:t>
      </w:r>
      <w:r w:rsidRPr="004C3E51">
        <w:t>Personalised</w:t>
      </w:r>
      <w:r w:rsidRPr="004C3E51">
        <w:rPr>
          <w:spacing w:val="-7"/>
        </w:rPr>
        <w:t xml:space="preserve"> </w:t>
      </w:r>
      <w:r w:rsidRPr="004C3E51">
        <w:t>Transport</w:t>
      </w:r>
      <w:r w:rsidRPr="004C3E51">
        <w:rPr>
          <w:spacing w:val="-7"/>
        </w:rPr>
        <w:t xml:space="preserve"> </w:t>
      </w:r>
      <w:r w:rsidRPr="004C3E51">
        <w:t>Ombudsman</w:t>
      </w:r>
      <w:r w:rsidRPr="004C3E51">
        <w:rPr>
          <w:spacing w:val="-7"/>
        </w:rPr>
        <w:t xml:space="preserve"> </w:t>
      </w:r>
      <w:r w:rsidRPr="004C3E51">
        <w:t>Repeal</w:t>
      </w:r>
      <w:r w:rsidRPr="004C3E51">
        <w:rPr>
          <w:spacing w:val="-7"/>
        </w:rPr>
        <w:t xml:space="preserve"> </w:t>
      </w:r>
      <w:r w:rsidR="00CA5611" w:rsidRPr="004C3E51">
        <w:t>Bil</w:t>
      </w:r>
      <w:r w:rsidR="00163059" w:rsidRPr="004C3E51">
        <w:t>l 2021</w:t>
      </w:r>
      <w:r w:rsidR="008C1C98">
        <w:t xml:space="preserve"> </w:t>
      </w:r>
      <w:r w:rsidRPr="004C3E51">
        <w:t>into</w:t>
      </w:r>
      <w:r w:rsidRPr="004C3E51">
        <w:rPr>
          <w:spacing w:val="-2"/>
        </w:rPr>
        <w:t xml:space="preserve"> </w:t>
      </w:r>
      <w:r w:rsidRPr="004C3E51">
        <w:t>the Legislative</w:t>
      </w:r>
      <w:r w:rsidRPr="004C3E51">
        <w:rPr>
          <w:spacing w:val="-5"/>
        </w:rPr>
        <w:t xml:space="preserve"> </w:t>
      </w:r>
      <w:r w:rsidRPr="004C3E51">
        <w:t>Assembly</w:t>
      </w:r>
      <w:r w:rsidR="001F3A6A">
        <w:t>.</w:t>
      </w:r>
    </w:p>
    <w:p w14:paraId="719D8228" w14:textId="77777777" w:rsidR="00292866" w:rsidRPr="004C3E51" w:rsidRDefault="00752E2F" w:rsidP="00A2378A">
      <w:pPr>
        <w:pStyle w:val="ListParagraph"/>
        <w:numPr>
          <w:ilvl w:val="0"/>
          <w:numId w:val="1"/>
        </w:numPr>
        <w:tabs>
          <w:tab w:val="left" w:pos="426"/>
        </w:tabs>
        <w:spacing w:before="360"/>
        <w:ind w:left="425" w:right="6" w:hanging="425"/>
        <w:rPr>
          <w:i/>
        </w:rPr>
      </w:pPr>
      <w:r w:rsidRPr="004C3E51">
        <w:rPr>
          <w:i/>
          <w:u w:val="single"/>
        </w:rPr>
        <w:t>Attachments</w:t>
      </w:r>
    </w:p>
    <w:p w14:paraId="719D822A" w14:textId="5D289766" w:rsidR="00292866" w:rsidRPr="004C3E51" w:rsidRDefault="00CF3A68" w:rsidP="00A2378A">
      <w:pPr>
        <w:pStyle w:val="ListParagraph"/>
        <w:numPr>
          <w:ilvl w:val="1"/>
          <w:numId w:val="1"/>
        </w:numPr>
        <w:tabs>
          <w:tab w:val="left" w:pos="851"/>
        </w:tabs>
        <w:spacing w:before="120"/>
        <w:ind w:left="850" w:right="6" w:hanging="425"/>
        <w:jc w:val="left"/>
      </w:pPr>
      <w:hyperlink r:id="rId10" w:history="1">
        <w:r w:rsidR="00607319" w:rsidRPr="00F9299D">
          <w:rPr>
            <w:rStyle w:val="Hyperlink"/>
            <w:spacing w:val="-2"/>
          </w:rPr>
          <w:t>Resources and Other Legislation Amendment</w:t>
        </w:r>
        <w:r w:rsidR="00752E2F" w:rsidRPr="00F9299D">
          <w:rPr>
            <w:rStyle w:val="Hyperlink"/>
            <w:spacing w:val="-13"/>
          </w:rPr>
          <w:t xml:space="preserve"> </w:t>
        </w:r>
        <w:r w:rsidR="00752E2F" w:rsidRPr="00F9299D">
          <w:rPr>
            <w:rStyle w:val="Hyperlink"/>
            <w:spacing w:val="-2"/>
          </w:rPr>
          <w:t>Bill</w:t>
        </w:r>
        <w:r w:rsidR="00752E2F" w:rsidRPr="00F9299D">
          <w:rPr>
            <w:rStyle w:val="Hyperlink"/>
            <w:spacing w:val="-13"/>
          </w:rPr>
          <w:t xml:space="preserve"> </w:t>
        </w:r>
        <w:r w:rsidR="00752E2F" w:rsidRPr="00F9299D">
          <w:rPr>
            <w:rStyle w:val="Hyperlink"/>
            <w:spacing w:val="-2"/>
          </w:rPr>
          <w:t>2021</w:t>
        </w:r>
        <w:r w:rsidR="001F3A6A" w:rsidRPr="00F9299D">
          <w:rPr>
            <w:rStyle w:val="Hyperlink"/>
            <w:spacing w:val="-2"/>
          </w:rPr>
          <w:t xml:space="preserve"> (refer to Part 7)</w:t>
        </w:r>
      </w:hyperlink>
    </w:p>
    <w:p w14:paraId="719D822C" w14:textId="3C60012F" w:rsidR="00292866" w:rsidRPr="004C3E51" w:rsidRDefault="00CF3A68" w:rsidP="00A2378A">
      <w:pPr>
        <w:pStyle w:val="ListParagraph"/>
        <w:numPr>
          <w:ilvl w:val="1"/>
          <w:numId w:val="1"/>
        </w:numPr>
        <w:tabs>
          <w:tab w:val="left" w:pos="851"/>
        </w:tabs>
        <w:spacing w:before="120"/>
        <w:ind w:left="850" w:right="6" w:hanging="425"/>
        <w:jc w:val="left"/>
      </w:pPr>
      <w:hyperlink r:id="rId11" w:history="1">
        <w:r w:rsidR="00752E2F" w:rsidRPr="00F9299D">
          <w:rPr>
            <w:rStyle w:val="Hyperlink"/>
            <w:spacing w:val="-2"/>
          </w:rPr>
          <w:t>Explanatory</w:t>
        </w:r>
        <w:r w:rsidR="00752E2F" w:rsidRPr="00F9299D">
          <w:rPr>
            <w:rStyle w:val="Hyperlink"/>
            <w:spacing w:val="-14"/>
          </w:rPr>
          <w:t xml:space="preserve"> </w:t>
        </w:r>
        <w:r w:rsidR="00752E2F" w:rsidRPr="00F9299D">
          <w:rPr>
            <w:rStyle w:val="Hyperlink"/>
            <w:spacing w:val="-1"/>
          </w:rPr>
          <w:t>Notes</w:t>
        </w:r>
      </w:hyperlink>
    </w:p>
    <w:p w14:paraId="719D822E" w14:textId="12A1CF48" w:rsidR="00292866" w:rsidRDefault="00CF3A68" w:rsidP="00A2378A">
      <w:pPr>
        <w:pStyle w:val="ListParagraph"/>
        <w:numPr>
          <w:ilvl w:val="1"/>
          <w:numId w:val="1"/>
        </w:numPr>
        <w:tabs>
          <w:tab w:val="left" w:pos="851"/>
        </w:tabs>
        <w:spacing w:before="120"/>
        <w:ind w:left="850" w:right="6" w:hanging="425"/>
        <w:jc w:val="left"/>
      </w:pPr>
      <w:hyperlink r:id="rId12" w:history="1">
        <w:r w:rsidR="00752E2F" w:rsidRPr="00F9299D">
          <w:rPr>
            <w:rStyle w:val="Hyperlink"/>
            <w:spacing w:val="-3"/>
          </w:rPr>
          <w:t>Statement</w:t>
        </w:r>
        <w:r w:rsidR="00752E2F" w:rsidRPr="00F9299D">
          <w:rPr>
            <w:rStyle w:val="Hyperlink"/>
            <w:spacing w:val="-11"/>
          </w:rPr>
          <w:t xml:space="preserve"> </w:t>
        </w:r>
        <w:r w:rsidR="00752E2F" w:rsidRPr="00F9299D">
          <w:rPr>
            <w:rStyle w:val="Hyperlink"/>
            <w:spacing w:val="-2"/>
          </w:rPr>
          <w:t>of</w:t>
        </w:r>
        <w:r w:rsidR="00752E2F" w:rsidRPr="00F9299D">
          <w:rPr>
            <w:rStyle w:val="Hyperlink"/>
            <w:spacing w:val="-11"/>
          </w:rPr>
          <w:t xml:space="preserve"> </w:t>
        </w:r>
        <w:r w:rsidR="00752E2F" w:rsidRPr="00F9299D">
          <w:rPr>
            <w:rStyle w:val="Hyperlink"/>
            <w:spacing w:val="-2"/>
          </w:rPr>
          <w:t>Compatibility</w:t>
        </w:r>
      </w:hyperlink>
    </w:p>
    <w:sectPr w:rsidR="00292866" w:rsidSect="00FA4B7A">
      <w:headerReference w:type="default" r:id="rId13"/>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F789" w14:textId="77777777" w:rsidR="00E34A95" w:rsidRDefault="00E34A95" w:rsidP="005F3BF3">
      <w:r>
        <w:separator/>
      </w:r>
    </w:p>
  </w:endnote>
  <w:endnote w:type="continuationSeparator" w:id="0">
    <w:p w14:paraId="7B0FD695" w14:textId="77777777" w:rsidR="00E34A95" w:rsidRDefault="00E34A95" w:rsidP="005F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1D4F" w14:textId="77777777" w:rsidR="00E34A95" w:rsidRDefault="00E34A95" w:rsidP="005F3BF3">
      <w:r>
        <w:separator/>
      </w:r>
    </w:p>
  </w:footnote>
  <w:footnote w:type="continuationSeparator" w:id="0">
    <w:p w14:paraId="69F4042D" w14:textId="77777777" w:rsidR="00E34A95" w:rsidRDefault="00E34A95" w:rsidP="005F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DBE9" w14:textId="77777777" w:rsidR="005F3BF3" w:rsidRPr="00937A4A" w:rsidRDefault="005F3BF3" w:rsidP="005F3BF3">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3E2C3A02" w14:textId="77777777" w:rsidR="005F3BF3" w:rsidRPr="00937A4A" w:rsidRDefault="005F3BF3" w:rsidP="005F3BF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41BA39B1" w14:textId="067AD7BA" w:rsidR="005F3BF3" w:rsidRPr="00937A4A" w:rsidRDefault="005F3BF3" w:rsidP="005F3BF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June 2021</w:t>
    </w:r>
  </w:p>
  <w:p w14:paraId="20440269" w14:textId="3A383D05" w:rsidR="005F3BF3" w:rsidRDefault="005F3BF3" w:rsidP="005F3BF3">
    <w:pPr>
      <w:pStyle w:val="Header"/>
      <w:spacing w:before="120"/>
      <w:rPr>
        <w:b/>
        <w:u w:val="single"/>
      </w:rPr>
    </w:pPr>
    <w:r w:rsidRPr="004C3E51">
      <w:rPr>
        <w:b/>
        <w:u w:val="single"/>
      </w:rPr>
      <w:t>Personalised Transport Ombudsman Repeal Bill 2021</w:t>
    </w:r>
  </w:p>
  <w:p w14:paraId="6C1D3814" w14:textId="30BBEAAA" w:rsidR="005F3BF3" w:rsidRDefault="005F3BF3" w:rsidP="005F3BF3">
    <w:pPr>
      <w:pStyle w:val="Header"/>
      <w:spacing w:before="120"/>
      <w:rPr>
        <w:b/>
        <w:u w:val="single"/>
      </w:rPr>
    </w:pPr>
    <w:r>
      <w:rPr>
        <w:b/>
        <w:u w:val="single"/>
      </w:rPr>
      <w:t>Minister for Transport and Main Roads</w:t>
    </w:r>
  </w:p>
  <w:p w14:paraId="37FD5179" w14:textId="77777777" w:rsidR="005F3BF3" w:rsidRDefault="005F3BF3" w:rsidP="005F3BF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D4C30"/>
    <w:multiLevelType w:val="hybridMultilevel"/>
    <w:tmpl w:val="39DC2994"/>
    <w:lvl w:ilvl="0" w:tplc="7BC4A482">
      <w:start w:val="1"/>
      <w:numFmt w:val="decimal"/>
      <w:lvlText w:val="%1."/>
      <w:lvlJc w:val="left"/>
      <w:pPr>
        <w:ind w:left="752" w:hanging="428"/>
        <w:jc w:val="left"/>
      </w:pPr>
      <w:rPr>
        <w:rFonts w:ascii="Arial" w:eastAsia="Arial" w:hAnsi="Arial" w:cs="Arial" w:hint="default"/>
        <w:b w:val="0"/>
        <w:bCs w:val="0"/>
        <w:i w:val="0"/>
        <w:iCs w:val="0"/>
        <w:spacing w:val="-1"/>
        <w:w w:val="100"/>
        <w:sz w:val="22"/>
        <w:szCs w:val="22"/>
        <w:lang w:val="en-AU" w:eastAsia="en-US" w:bidi="ar-SA"/>
      </w:rPr>
    </w:lvl>
    <w:lvl w:ilvl="1" w:tplc="B5A631EA">
      <w:numFmt w:val="bullet"/>
      <w:lvlText w:val=""/>
      <w:lvlJc w:val="left"/>
      <w:pPr>
        <w:ind w:left="1045" w:hanging="360"/>
      </w:pPr>
      <w:rPr>
        <w:rFonts w:ascii="Symbol" w:eastAsia="Symbol" w:hAnsi="Symbol" w:cs="Symbol" w:hint="default"/>
        <w:b w:val="0"/>
        <w:bCs w:val="0"/>
        <w:i w:val="0"/>
        <w:iCs w:val="0"/>
        <w:w w:val="100"/>
        <w:sz w:val="22"/>
        <w:szCs w:val="22"/>
        <w:lang w:val="en-AU" w:eastAsia="en-US" w:bidi="ar-SA"/>
      </w:rPr>
    </w:lvl>
    <w:lvl w:ilvl="2" w:tplc="3F9EFE5E">
      <w:numFmt w:val="bullet"/>
      <w:lvlText w:val="•"/>
      <w:lvlJc w:val="left"/>
      <w:pPr>
        <w:ind w:left="1994" w:hanging="360"/>
      </w:pPr>
      <w:rPr>
        <w:rFonts w:hint="default"/>
        <w:lang w:val="en-AU" w:eastAsia="en-US" w:bidi="ar-SA"/>
      </w:rPr>
    </w:lvl>
    <w:lvl w:ilvl="3" w:tplc="11D6A6B8">
      <w:numFmt w:val="bullet"/>
      <w:lvlText w:val="•"/>
      <w:lvlJc w:val="left"/>
      <w:pPr>
        <w:ind w:left="2948" w:hanging="360"/>
      </w:pPr>
      <w:rPr>
        <w:rFonts w:hint="default"/>
        <w:lang w:val="en-AU" w:eastAsia="en-US" w:bidi="ar-SA"/>
      </w:rPr>
    </w:lvl>
    <w:lvl w:ilvl="4" w:tplc="815666C2">
      <w:numFmt w:val="bullet"/>
      <w:lvlText w:val="•"/>
      <w:lvlJc w:val="left"/>
      <w:pPr>
        <w:ind w:left="3902" w:hanging="360"/>
      </w:pPr>
      <w:rPr>
        <w:rFonts w:hint="default"/>
        <w:lang w:val="en-AU" w:eastAsia="en-US" w:bidi="ar-SA"/>
      </w:rPr>
    </w:lvl>
    <w:lvl w:ilvl="5" w:tplc="AB5440C0">
      <w:numFmt w:val="bullet"/>
      <w:lvlText w:val="•"/>
      <w:lvlJc w:val="left"/>
      <w:pPr>
        <w:ind w:left="4856" w:hanging="360"/>
      </w:pPr>
      <w:rPr>
        <w:rFonts w:hint="default"/>
        <w:lang w:val="en-AU" w:eastAsia="en-US" w:bidi="ar-SA"/>
      </w:rPr>
    </w:lvl>
    <w:lvl w:ilvl="6" w:tplc="605402A4">
      <w:numFmt w:val="bullet"/>
      <w:lvlText w:val="•"/>
      <w:lvlJc w:val="left"/>
      <w:pPr>
        <w:ind w:left="5810" w:hanging="360"/>
      </w:pPr>
      <w:rPr>
        <w:rFonts w:hint="default"/>
        <w:lang w:val="en-AU" w:eastAsia="en-US" w:bidi="ar-SA"/>
      </w:rPr>
    </w:lvl>
    <w:lvl w:ilvl="7" w:tplc="8DB251B4">
      <w:numFmt w:val="bullet"/>
      <w:lvlText w:val="•"/>
      <w:lvlJc w:val="left"/>
      <w:pPr>
        <w:ind w:left="6764" w:hanging="360"/>
      </w:pPr>
      <w:rPr>
        <w:rFonts w:hint="default"/>
        <w:lang w:val="en-AU" w:eastAsia="en-US" w:bidi="ar-SA"/>
      </w:rPr>
    </w:lvl>
    <w:lvl w:ilvl="8" w:tplc="C69026D8">
      <w:numFmt w:val="bullet"/>
      <w:lvlText w:val="•"/>
      <w:lvlJc w:val="left"/>
      <w:pPr>
        <w:ind w:left="7718" w:hanging="360"/>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66"/>
    <w:rsid w:val="00032719"/>
    <w:rsid w:val="00163059"/>
    <w:rsid w:val="00167073"/>
    <w:rsid w:val="001902D6"/>
    <w:rsid w:val="001F3A6A"/>
    <w:rsid w:val="00292866"/>
    <w:rsid w:val="003703E5"/>
    <w:rsid w:val="003E02B0"/>
    <w:rsid w:val="00432A6E"/>
    <w:rsid w:val="004C3E51"/>
    <w:rsid w:val="004D6418"/>
    <w:rsid w:val="00556EE5"/>
    <w:rsid w:val="005F3BF3"/>
    <w:rsid w:val="00607319"/>
    <w:rsid w:val="00675716"/>
    <w:rsid w:val="00752E2F"/>
    <w:rsid w:val="008C1C98"/>
    <w:rsid w:val="00973F1F"/>
    <w:rsid w:val="00993650"/>
    <w:rsid w:val="009A0F48"/>
    <w:rsid w:val="00A2378A"/>
    <w:rsid w:val="00B045F3"/>
    <w:rsid w:val="00B04658"/>
    <w:rsid w:val="00B95517"/>
    <w:rsid w:val="00C23B29"/>
    <w:rsid w:val="00CA5611"/>
    <w:rsid w:val="00CF3A68"/>
    <w:rsid w:val="00E1343F"/>
    <w:rsid w:val="00E34A95"/>
    <w:rsid w:val="00F81BF3"/>
    <w:rsid w:val="00F9299D"/>
    <w:rsid w:val="00FA4B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08" w:right="8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7"/>
      <w:ind w:left="327"/>
    </w:pPr>
    <w:rPr>
      <w:b/>
      <w:bCs/>
      <w:sz w:val="56"/>
      <w:szCs w:val="56"/>
    </w:rPr>
  </w:style>
  <w:style w:type="paragraph" w:styleId="ListParagraph">
    <w:name w:val="List Paragraph"/>
    <w:basedOn w:val="Normal"/>
    <w:uiPriority w:val="1"/>
    <w:qFormat/>
    <w:pPr>
      <w:ind w:left="752"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3BF3"/>
    <w:pPr>
      <w:tabs>
        <w:tab w:val="center" w:pos="4680"/>
        <w:tab w:val="right" w:pos="9360"/>
      </w:tabs>
    </w:pPr>
  </w:style>
  <w:style w:type="character" w:customStyle="1" w:styleId="HeaderChar">
    <w:name w:val="Header Char"/>
    <w:basedOn w:val="DefaultParagraphFont"/>
    <w:link w:val="Header"/>
    <w:uiPriority w:val="99"/>
    <w:rsid w:val="005F3BF3"/>
    <w:rPr>
      <w:rFonts w:ascii="Arial" w:eastAsia="Arial" w:hAnsi="Arial" w:cs="Arial"/>
      <w:lang w:val="en-AU"/>
    </w:rPr>
  </w:style>
  <w:style w:type="paragraph" w:styleId="Footer">
    <w:name w:val="footer"/>
    <w:basedOn w:val="Normal"/>
    <w:link w:val="FooterChar"/>
    <w:uiPriority w:val="99"/>
    <w:unhideWhenUsed/>
    <w:rsid w:val="005F3BF3"/>
    <w:pPr>
      <w:tabs>
        <w:tab w:val="center" w:pos="4680"/>
        <w:tab w:val="right" w:pos="9360"/>
      </w:tabs>
    </w:pPr>
  </w:style>
  <w:style w:type="character" w:customStyle="1" w:styleId="FooterChar">
    <w:name w:val="Footer Char"/>
    <w:basedOn w:val="DefaultParagraphFont"/>
    <w:link w:val="Footer"/>
    <w:uiPriority w:val="99"/>
    <w:rsid w:val="005F3BF3"/>
    <w:rPr>
      <w:rFonts w:ascii="Arial" w:eastAsia="Arial" w:hAnsi="Arial" w:cs="Arial"/>
      <w:lang w:val="en-AU"/>
    </w:rPr>
  </w:style>
  <w:style w:type="paragraph" w:styleId="BalloonText">
    <w:name w:val="Balloon Text"/>
    <w:basedOn w:val="Normal"/>
    <w:link w:val="BalloonTextChar"/>
    <w:uiPriority w:val="99"/>
    <w:semiHidden/>
    <w:unhideWhenUsed/>
    <w:rsid w:val="008C1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98"/>
    <w:rPr>
      <w:rFonts w:ascii="Segoe UI" w:eastAsia="Arial" w:hAnsi="Segoe UI" w:cs="Segoe UI"/>
      <w:sz w:val="18"/>
      <w:szCs w:val="18"/>
      <w:lang w:val="en-AU"/>
    </w:rPr>
  </w:style>
  <w:style w:type="character" w:styleId="Hyperlink">
    <w:name w:val="Hyperlink"/>
    <w:basedOn w:val="DefaultParagraphFont"/>
    <w:uiPriority w:val="99"/>
    <w:unhideWhenUsed/>
    <w:rsid w:val="00F9299D"/>
    <w:rPr>
      <w:color w:val="0000FF" w:themeColor="hyperlink"/>
      <w:u w:val="single"/>
    </w:rPr>
  </w:style>
  <w:style w:type="character" w:styleId="UnresolvedMention">
    <w:name w:val="Unresolved Mention"/>
    <w:basedOn w:val="DefaultParagraphFont"/>
    <w:uiPriority w:val="99"/>
    <w:semiHidden/>
    <w:unhideWhenUsed/>
    <w:rsid w:val="00F9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EDFEF-9512-4E7F-A659-4D3C66242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380BF-FFF2-4148-B938-5BB449FBC4FA}">
  <ds:schemaRefs>
    <ds:schemaRef ds:uri="http://schemas.microsoft.com/sharepoint/v3/contenttype/forms"/>
  </ds:schemaRefs>
</ds:datastoreItem>
</file>

<file path=customXml/itemProps3.xml><?xml version="1.0" encoding="utf-8"?>
<ds:datastoreItem xmlns:ds="http://schemas.openxmlformats.org/officeDocument/2006/customXml" ds:itemID="{6DCB0CA9-8D4B-4EAF-BF28-AC126F296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1008</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1179</CharactersWithSpaces>
  <SharedDoc>false</SharedDoc>
  <HyperlinkBase>https://www.cabinet.qld.gov.au/documents/2021/Jun/PTO Repeal 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8</cp:revision>
  <dcterms:created xsi:type="dcterms:W3CDTF">2021-08-19T07:52:00Z</dcterms:created>
  <dcterms:modified xsi:type="dcterms:W3CDTF">2021-11-03T06:35:00Z</dcterms:modified>
  <cp:category>Transport,COVID-19,Legislation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for Office 365</vt:lpwstr>
  </property>
  <property fmtid="{D5CDD505-2E9C-101B-9397-08002B2CF9AE}" pid="4" name="LastSaved">
    <vt:filetime>2021-05-27T00:00:00Z</vt:filetime>
  </property>
  <property fmtid="{D5CDD505-2E9C-101B-9397-08002B2CF9AE}" pid="5" name="ContentTypeId">
    <vt:lpwstr>0x010100DDE14CFDD070B24F85F5DE43654FF01E</vt:lpwstr>
  </property>
</Properties>
</file>